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93286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932860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E7CC6AB" w:rsidR="00F305BB" w:rsidRPr="00932860" w:rsidRDefault="009328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1713EC54" w:rsidR="00F305BB" w:rsidRPr="00932860" w:rsidRDefault="009328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0996C4A7" w:rsidR="00F305BB" w:rsidRPr="00932860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31201</w:t>
            </w:r>
            <w:r w:rsidR="00CE3761">
              <w:rPr>
                <w:rFonts w:ascii="Times New Roman" w:hAnsi="Times New Roman"/>
              </w:rPr>
              <w:t>1</w:t>
            </w:r>
            <w:r w:rsidRPr="00932860">
              <w:rPr>
                <w:rFonts w:ascii="Times New Roman" w:hAnsi="Times New Roman"/>
              </w:rPr>
              <w:t>A</w:t>
            </w:r>
            <w:r w:rsidR="00932860" w:rsidRPr="00932860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C17A278" w:rsidR="00F305BB" w:rsidRPr="00932860" w:rsidRDefault="009328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32860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18C7707" w:rsidR="00F305BB" w:rsidRPr="007B6C7D" w:rsidRDefault="00F55CA6" w:rsidP="00F55CA6">
            <w:pPr>
              <w:tabs>
                <w:tab w:val="left" w:pos="4007"/>
              </w:tabs>
              <w:spacing w:after="0" w:line="240" w:lineRule="auto"/>
            </w:pPr>
            <w:r>
              <w:t>9.november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2A1BF188" w:rsidR="00F305BB" w:rsidRPr="007B6C7D" w:rsidRDefault="00F55CA6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2, 080 05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D0DAFBF" w:rsidR="00F305BB" w:rsidRPr="007B6C7D" w:rsidRDefault="00F55CA6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ED96FE2" w:rsidR="00F305BB" w:rsidRPr="007B6C7D" w:rsidRDefault="00F55CA6" w:rsidP="006D34A2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7002A3F" w:rsidR="00EE1416" w:rsidRDefault="0093286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prezentácia Best Practice z oblasti rozvoja podnikavosti a prepájania teórie s</w:t>
            </w:r>
            <w:r w:rsidR="00CE376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praxou</w:t>
            </w:r>
            <w:r w:rsidR="00CE3761">
              <w:rPr>
                <w:rFonts w:ascii="Times New Roman" w:hAnsi="Times New Roman"/>
              </w:rPr>
              <w:t xml:space="preserve"> v tejto oblasti. </w:t>
            </w:r>
            <w:r>
              <w:rPr>
                <w:rFonts w:ascii="Times New Roman" w:hAnsi="Times New Roman"/>
              </w:rPr>
              <w:t>V rámci stretnutia sme ďalej na predmetnú tému diskutovali, zdieľali OPS a na záver stretnutia sme tvorili pedagogické odporúčanie.</w:t>
            </w:r>
          </w:p>
          <w:p w14:paraId="733D3EDD" w14:textId="77777777" w:rsidR="00932860" w:rsidRDefault="0093286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260D8AE4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32860">
              <w:rPr>
                <w:rFonts w:ascii="Times New Roman" w:hAnsi="Times New Roman"/>
              </w:rPr>
              <w:t>Best Practice, rozvoj podnikavosti, vzdelávanie 4.0.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7C9CB6B" w:rsidR="00405AE8" w:rsidRDefault="0093286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338D77E7" w14:textId="7326A3C2" w:rsidR="00932860" w:rsidRDefault="0093286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OPS.</w:t>
            </w:r>
          </w:p>
          <w:p w14:paraId="2C653992" w14:textId="6CD137DB" w:rsidR="00932860" w:rsidRDefault="0093286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158BD54" w14:textId="15268445" w:rsidR="00932860" w:rsidRDefault="0093286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08FC3BA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932860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6BC43DD" w14:textId="77777777" w:rsidR="00F305BB" w:rsidRDefault="0093286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Výskumná práca s odbornou literatúrou – opisný výskum.</w:t>
            </w:r>
          </w:p>
          <w:p w14:paraId="574A5BE0" w14:textId="77777777" w:rsidR="00932860" w:rsidRDefault="0093286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Prezentovanie výsledkov výskumu – príklady Best Practice.</w:t>
            </w:r>
          </w:p>
          <w:p w14:paraId="1DF2C413" w14:textId="77777777" w:rsidR="00932860" w:rsidRDefault="0093286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s inovatívnymi metódami.</w:t>
            </w:r>
          </w:p>
          <w:p w14:paraId="46ED2987" w14:textId="33A13661" w:rsidR="00932860" w:rsidRPr="00405AE8" w:rsidRDefault="0093286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CE3761">
        <w:trPr>
          <w:trHeight w:val="5514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786C04D4" w14:textId="77777777" w:rsidR="00F54B74" w:rsidRPr="00F54B74" w:rsidRDefault="00F54B74" w:rsidP="00F54B7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24149BE" w14:textId="3C61A800" w:rsidR="00F54B74" w:rsidRPr="00CE3761" w:rsidRDefault="00F54B74" w:rsidP="00F54B7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54B74">
              <w:rPr>
                <w:rFonts w:ascii="Times New Roman" w:hAnsi="Times New Roman"/>
              </w:rPr>
              <w:t xml:space="preserve">V rámci analýzy a prezentácie OPS sme sa zamerali na aktivizujúce metódy a ich využitie pri rozvoji podnikateľských kompetencií. </w:t>
            </w:r>
          </w:p>
          <w:p w14:paraId="727674DD" w14:textId="591A020D" w:rsidR="00F54B74" w:rsidRP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E3761">
              <w:rPr>
                <w:rFonts w:ascii="Times New Roman" w:hAnsi="Times New Roman"/>
                <w:i/>
                <w:iCs/>
              </w:rPr>
              <w:t>Aktivizujúce metódy</w:t>
            </w:r>
            <w:r w:rsidRPr="00F54B74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F54B74">
              <w:rPr>
                <w:rFonts w:ascii="Times New Roman" w:hAnsi="Times New Roman"/>
                <w:bCs/>
              </w:rPr>
              <w:t>sú založené na plánovaní, organizovaní a riadení samotnej edukácie tak, aby prostredníctvom vlastnej poznávacej činnosti žiakov dochádzalo k splneniu výchovno-vzdelávacieho cieľa.</w:t>
            </w:r>
            <w:r w:rsidRPr="00F54B74">
              <w:rPr>
                <w:rFonts w:ascii="Times New Roman" w:hAnsi="Times New Roman"/>
                <w:bCs/>
              </w:rPr>
              <w:br/>
              <w:t xml:space="preserve">Ciele aktivizujúcich metód: </w:t>
            </w:r>
          </w:p>
          <w:p w14:paraId="456E24BE" w14:textId="77777777" w:rsidR="00F54B74" w:rsidRPr="00F54B74" w:rsidRDefault="00F54B74" w:rsidP="00F54B7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podporovať záujem žiakov o učenie, </w:t>
            </w:r>
          </w:p>
          <w:p w14:paraId="2D845A93" w14:textId="77777777" w:rsidR="00F54B74" w:rsidRPr="00F54B74" w:rsidRDefault="00F54B74" w:rsidP="00F54B7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využívajú už získané skúsenosti a vedomosti žiakov, </w:t>
            </w:r>
          </w:p>
          <w:p w14:paraId="4993932B" w14:textId="77777777" w:rsidR="00F54B74" w:rsidRPr="00F54B74" w:rsidRDefault="00F54B74" w:rsidP="00F54B7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podporujú u nich intenzívne prežívanie, myslenie a konanie, </w:t>
            </w:r>
          </w:p>
          <w:p w14:paraId="1422D0B9" w14:textId="77777777" w:rsidR="00F54B74" w:rsidRDefault="00F54B74" w:rsidP="00F54B7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>významne podporujú a rozvíjajú poznávacie procesy žiakov.</w:t>
            </w:r>
            <w:r w:rsidRPr="00F54B74">
              <w:rPr>
                <w:rFonts w:ascii="Times New Roman" w:hAnsi="Times New Roman"/>
                <w:bCs/>
              </w:rPr>
              <w:br/>
              <w:t xml:space="preserve">v odbornej literatúre sú pomerne podrobne spracované. </w:t>
            </w:r>
          </w:p>
          <w:p w14:paraId="70C16F99" w14:textId="77777777" w:rsidR="00F54B74" w:rsidRPr="00F54B74" w:rsidRDefault="00F54B74" w:rsidP="00F54B74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  <w:p w14:paraId="3D81A353" w14:textId="62ABF7B0" w:rsidR="00F54B74" w:rsidRPr="00CE3761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E3761">
              <w:rPr>
                <w:rFonts w:ascii="Times New Roman" w:hAnsi="Times New Roman"/>
                <w:i/>
                <w:iCs/>
              </w:rPr>
              <w:t xml:space="preserve">Prezentovali </w:t>
            </w:r>
            <w:r w:rsidR="00CE3761">
              <w:rPr>
                <w:rFonts w:ascii="Times New Roman" w:hAnsi="Times New Roman"/>
                <w:i/>
                <w:iCs/>
              </w:rPr>
              <w:t xml:space="preserve">a diskutovali sme o </w:t>
            </w:r>
            <w:r w:rsidRPr="00CE3761">
              <w:rPr>
                <w:rFonts w:ascii="Times New Roman" w:hAnsi="Times New Roman"/>
                <w:i/>
                <w:iCs/>
              </w:rPr>
              <w:t>členen</w:t>
            </w:r>
            <w:r w:rsidR="00CE3761">
              <w:rPr>
                <w:rFonts w:ascii="Times New Roman" w:hAnsi="Times New Roman"/>
                <w:i/>
                <w:iCs/>
              </w:rPr>
              <w:t>í</w:t>
            </w:r>
            <w:r w:rsidRPr="00CE3761">
              <w:rPr>
                <w:rFonts w:ascii="Times New Roman" w:hAnsi="Times New Roman"/>
                <w:i/>
                <w:iCs/>
              </w:rPr>
              <w:t xml:space="preserve"> aktivizujúcich metód: </w:t>
            </w:r>
          </w:p>
          <w:p w14:paraId="316384AA" w14:textId="77777777" w:rsidR="00F54B74" w:rsidRPr="00F54B74" w:rsidRDefault="00F54B74" w:rsidP="00F54B74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podľa náročnosti prípravy (čas, materiálne zabezpečenie, pomôcky), </w:t>
            </w:r>
          </w:p>
          <w:p w14:paraId="51E53B9C" w14:textId="77777777" w:rsidR="00F54B74" w:rsidRPr="00F54B74" w:rsidRDefault="00F54B74" w:rsidP="00F54B74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podľa časovej náročnosti samostatného priebehu vo vyučovaní, </w:t>
            </w:r>
          </w:p>
          <w:p w14:paraId="622C9EF2" w14:textId="77777777" w:rsidR="00F54B74" w:rsidRPr="00F54B74" w:rsidRDefault="00F54B74" w:rsidP="00F54B74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podľa zaradenia do kategórie (hry, situačné m., inscenačné m.), </w:t>
            </w:r>
          </w:p>
          <w:p w14:paraId="64DA8A7F" w14:textId="77777777" w:rsidR="00F54B74" w:rsidRPr="00F54B74" w:rsidRDefault="00F54B74" w:rsidP="00F54B74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podľa účelu a cieľa vo vyučovaní (na diagnostikovanie, opakovanie, mo- </w:t>
            </w:r>
          </w:p>
          <w:p w14:paraId="49BFFEEE" w14:textId="7A4A191D" w:rsid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tiváciu). </w:t>
            </w:r>
          </w:p>
          <w:p w14:paraId="285E328A" w14:textId="07B2693F" w:rsidR="00F54B74" w:rsidRPr="00CE3761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54B74">
              <w:rPr>
                <w:rFonts w:ascii="Times New Roman" w:hAnsi="Times New Roman"/>
                <w:bCs/>
              </w:rPr>
              <w:t xml:space="preserve">Nasledujúci prehľad </w:t>
            </w:r>
            <w:r>
              <w:rPr>
                <w:rFonts w:ascii="Times New Roman" w:hAnsi="Times New Roman"/>
                <w:bCs/>
              </w:rPr>
              <w:t>metód</w:t>
            </w:r>
            <w:r w:rsidRPr="00F54B74">
              <w:rPr>
                <w:rFonts w:ascii="Times New Roman" w:hAnsi="Times New Roman"/>
                <w:bCs/>
              </w:rPr>
              <w:t xml:space="preserve"> sme zostavili na základe skúseností zo školskej edukácie, kde sa osvedčili ako produktívne, efektívne a efek</w:t>
            </w:r>
            <w:r>
              <w:rPr>
                <w:rFonts w:ascii="Times New Roman" w:hAnsi="Times New Roman"/>
                <w:bCs/>
              </w:rPr>
              <w:t>t</w:t>
            </w:r>
            <w:r w:rsidRPr="00F54B74">
              <w:rPr>
                <w:rFonts w:ascii="Times New Roman" w:hAnsi="Times New Roman"/>
                <w:bCs/>
              </w:rPr>
              <w:t>né súčasne.</w:t>
            </w:r>
            <w:r w:rsidRPr="00F54B74">
              <w:rPr>
                <w:rFonts w:ascii="Times New Roman" w:hAnsi="Times New Roman"/>
                <w:bCs/>
              </w:rPr>
              <w:br/>
            </w:r>
            <w:r w:rsidRPr="00CE3761">
              <w:rPr>
                <w:rFonts w:ascii="Times New Roman" w:hAnsi="Times New Roman"/>
              </w:rPr>
              <w:t xml:space="preserve">1. Stratégia porovnaj – rozlíš </w:t>
            </w:r>
          </w:p>
          <w:p w14:paraId="0B758E3B" w14:textId="76E0C70F" w:rsid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Porovnaj a rozlíš je stratégia založená na skúmaní dvoch alebo viacerých objektov, myšlienok, javov, ľudí, textov a pod. tak, že sa sleduje ich podobnosť a odlišnosť. Môžeme porovnávať dva filmy, dve knihy, dve vedecké teórie, dve rôzne látky, dva spôsoby práce, fungovania systému a pod. Grafické znázornenie podobnosti a odlišnosti – vennov diagram. Na ľavú a pravú stranu sa píšu špecifické (odlišné) znaky a do stredu rovnaké (spoločné) znaky. </w:t>
            </w:r>
          </w:p>
          <w:p w14:paraId="7454B3B9" w14:textId="50225482" w:rsid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E3761">
              <w:rPr>
                <w:rFonts w:ascii="Times New Roman" w:hAnsi="Times New Roman"/>
              </w:rPr>
              <w:t>2. Kooperatívne učenie sa</w:t>
            </w:r>
            <w:r w:rsidRPr="00F54B74">
              <w:rPr>
                <w:rFonts w:ascii="Times New Roman" w:hAnsi="Times New Roman"/>
                <w:b/>
                <w:bCs/>
              </w:rPr>
              <w:t xml:space="preserve"> </w:t>
            </w:r>
            <w:r w:rsidRPr="00F54B74">
              <w:rPr>
                <w:rFonts w:ascii="Times New Roman" w:hAnsi="Times New Roman"/>
                <w:bCs/>
              </w:rPr>
              <w:t xml:space="preserve">(učiace sa tímy) – žiaci dostanú </w:t>
            </w:r>
            <w:r w:rsidR="00CE3761">
              <w:rPr>
                <w:rFonts w:ascii="Times New Roman" w:hAnsi="Times New Roman"/>
                <w:bCs/>
              </w:rPr>
              <w:t>učebné</w:t>
            </w:r>
            <w:r w:rsidRPr="00F54B74">
              <w:rPr>
                <w:rFonts w:ascii="Times New Roman" w:hAnsi="Times New Roman"/>
                <w:bCs/>
              </w:rPr>
              <w:t xml:space="preserve"> podklady, potom odpovedajú na otázky, riešia úlohy.</w:t>
            </w:r>
            <w:r w:rsidRPr="00F54B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T</w:t>
            </w:r>
            <w:r w:rsidRPr="00F54B74">
              <w:rPr>
                <w:rFonts w:ascii="Times New Roman" w:hAnsi="Times New Roman"/>
                <w:bCs/>
              </w:rPr>
              <w:t xml:space="preserve">exty vyžadujú od žiakov vlastné porozumenie a spracovanie vecí, ktoré nie sú explicitne uvedené v texte. </w:t>
            </w:r>
            <w:r>
              <w:rPr>
                <w:rFonts w:ascii="Times New Roman" w:hAnsi="Times New Roman"/>
                <w:bCs/>
              </w:rPr>
              <w:t>Ž</w:t>
            </w:r>
            <w:r w:rsidRPr="00F54B74">
              <w:rPr>
                <w:rFonts w:ascii="Times New Roman" w:hAnsi="Times New Roman"/>
                <w:bCs/>
              </w:rPr>
              <w:t xml:space="preserve">iaci môžu dostať v skupinách aj rôzne texty a spolupracujú pri ich prezentácii iným </w:t>
            </w:r>
            <w:r w:rsidRPr="00F54B74">
              <w:rPr>
                <w:rFonts w:ascii="Times New Roman" w:hAnsi="Times New Roman"/>
                <w:bCs/>
              </w:rPr>
              <w:lastRenderedPageBreak/>
              <w:t xml:space="preserve">skupinám. </w:t>
            </w:r>
            <w:r>
              <w:rPr>
                <w:rFonts w:ascii="Times New Roman" w:hAnsi="Times New Roman"/>
                <w:bCs/>
              </w:rPr>
              <w:t>Táto metóda sa nám osvedčila najmä pri rozvoji argumentácie a asertívnej komunikácie, ktoré sú základnou súčasťou podnikateľských kompetencií.</w:t>
            </w:r>
          </w:p>
          <w:p w14:paraId="43E9D4EC" w14:textId="7C9A302E" w:rsid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7E1FCD9" w14:textId="144B4622" w:rsidR="00F54B74" w:rsidRDefault="00F54B74" w:rsidP="00F54B7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Nakoniec odporúčame stratégie aktívneho učenia pri rozvoji predmetných gramotností. Zhodli sme sa, že aktívne učenie:</w:t>
            </w:r>
          </w:p>
          <w:p w14:paraId="2EC9856A" w14:textId="77777777" w:rsidR="00F54B74" w:rsidRPr="00F54B74" w:rsidRDefault="00F54B74" w:rsidP="00F54B74">
            <w:pPr>
              <w:numPr>
                <w:ilvl w:val="1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kladie sa menší dôraz na sprostredkovanie informácií a väčší dôraz na rozvoj zručností žiakov, </w:t>
            </w:r>
          </w:p>
          <w:p w14:paraId="040FED5B" w14:textId="39BF9072" w:rsidR="00F54B74" w:rsidRPr="00F54B74" w:rsidRDefault="00F54B74" w:rsidP="00F54B74">
            <w:pPr>
              <w:numPr>
                <w:ilvl w:val="1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od žiakov </w:t>
            </w:r>
            <w:r>
              <w:rPr>
                <w:rFonts w:ascii="Times New Roman" w:hAnsi="Times New Roman"/>
                <w:bCs/>
              </w:rPr>
              <w:t>požadujeme</w:t>
            </w:r>
            <w:r w:rsidRPr="00F54B74">
              <w:rPr>
                <w:rFonts w:ascii="Times New Roman" w:hAnsi="Times New Roman"/>
                <w:bCs/>
              </w:rPr>
              <w:t xml:space="preserve"> vyššie myšlienkové operácie, ako napríklad analýza, syntéza, hodnotenie, </w:t>
            </w:r>
          </w:p>
          <w:p w14:paraId="72117839" w14:textId="77777777" w:rsidR="00F54B74" w:rsidRPr="00F54B74" w:rsidRDefault="00F54B74" w:rsidP="00F54B74">
            <w:pPr>
              <w:numPr>
                <w:ilvl w:val="1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 xml:space="preserve">žiaci nielen aktívne robia, ale súčasne aj rozmýšľajú nad tým, čo robia, </w:t>
            </w:r>
          </w:p>
          <w:p w14:paraId="20FC3FE9" w14:textId="2ACDDBFA" w:rsidR="00F54B74" w:rsidRPr="00F54B74" w:rsidRDefault="00F54B74" w:rsidP="00F54B74">
            <w:pPr>
              <w:numPr>
                <w:ilvl w:val="1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54B74">
              <w:rPr>
                <w:rFonts w:ascii="Times New Roman" w:hAnsi="Times New Roman"/>
                <w:bCs/>
              </w:rPr>
              <w:t>vedomosti, ktoré žiaci získavajú vlastným aktívnym učením sa, závisia od ich motivácie a cieľov, ale aj od toho, čo z danej témy už vedia a ako to vedia využiť pri učení sa nových vecí</w:t>
            </w:r>
            <w:r w:rsidR="00CE3761">
              <w:rPr>
                <w:rFonts w:ascii="Times New Roman" w:hAnsi="Times New Roman"/>
                <w:bCs/>
              </w:rPr>
              <w:t>.</w:t>
            </w:r>
          </w:p>
          <w:p w14:paraId="22F6E601" w14:textId="367CD7A5" w:rsidR="00EE1416" w:rsidRPr="00CE3761" w:rsidRDefault="00EE1416" w:rsidP="00F54B7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bookmarkStart w:id="0" w:name="_GoBack"/>
        <w:bookmarkEnd w:id="0"/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5471F3B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54B74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FA1BBCF" w:rsidR="00F305BB" w:rsidRPr="007B6C7D" w:rsidRDefault="00F55CA6" w:rsidP="007B6C7D">
            <w:pPr>
              <w:tabs>
                <w:tab w:val="left" w:pos="1114"/>
              </w:tabs>
              <w:spacing w:after="0" w:line="240" w:lineRule="auto"/>
            </w:pPr>
            <w:r>
              <w:t>9. november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AAEE604" w:rsidR="00F305BB" w:rsidRPr="007B6C7D" w:rsidRDefault="00F55CA6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2BAFDED" w:rsidR="00F305BB" w:rsidRPr="007B6C7D" w:rsidRDefault="00F55CA6" w:rsidP="007B6C7D">
            <w:pPr>
              <w:tabs>
                <w:tab w:val="left" w:pos="1114"/>
              </w:tabs>
              <w:spacing w:after="0" w:line="240" w:lineRule="auto"/>
            </w:pPr>
            <w:r>
              <w:t>9. november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AAC11BC" w14:textId="77777777" w:rsidR="00F55CA6" w:rsidRDefault="00F55CA6" w:rsidP="00D0796E">
      <w:pPr>
        <w:rPr>
          <w:rFonts w:ascii="Times New Roman" w:hAnsi="Times New Roman"/>
        </w:rPr>
      </w:pPr>
    </w:p>
    <w:p w14:paraId="163152B0" w14:textId="77777777" w:rsidR="00F55CA6" w:rsidRDefault="00F55CA6" w:rsidP="00D0796E">
      <w:pPr>
        <w:rPr>
          <w:rFonts w:ascii="Times New Roman" w:hAnsi="Times New Roman"/>
        </w:rPr>
      </w:pPr>
    </w:p>
    <w:p w14:paraId="7D3DD7F1" w14:textId="77777777" w:rsidR="00F55CA6" w:rsidRDefault="00F55CA6" w:rsidP="00D0796E">
      <w:pPr>
        <w:rPr>
          <w:rFonts w:ascii="Times New Roman" w:hAnsi="Times New Roman"/>
        </w:rPr>
      </w:pPr>
    </w:p>
    <w:p w14:paraId="4892269F" w14:textId="77777777" w:rsidR="00F55CA6" w:rsidRDefault="00F55CA6" w:rsidP="00D0796E">
      <w:pPr>
        <w:rPr>
          <w:rFonts w:ascii="Times New Roman" w:hAnsi="Times New Roman"/>
        </w:rPr>
      </w:pPr>
    </w:p>
    <w:p w14:paraId="29E07529" w14:textId="77777777" w:rsidR="00F55CA6" w:rsidRDefault="00F55CA6" w:rsidP="00D0796E">
      <w:pPr>
        <w:rPr>
          <w:rFonts w:ascii="Times New Roman" w:hAnsi="Times New Roman"/>
        </w:rPr>
      </w:pPr>
    </w:p>
    <w:p w14:paraId="22FB5FBE" w14:textId="77777777" w:rsidR="00F55CA6" w:rsidRDefault="00F55CA6" w:rsidP="00D0796E">
      <w:pPr>
        <w:rPr>
          <w:rFonts w:ascii="Times New Roman" w:hAnsi="Times New Roman"/>
        </w:rPr>
      </w:pPr>
    </w:p>
    <w:p w14:paraId="2094B831" w14:textId="77777777" w:rsidR="00F55CA6" w:rsidRDefault="00F55CA6" w:rsidP="00D0796E">
      <w:pPr>
        <w:rPr>
          <w:rFonts w:ascii="Times New Roman" w:hAnsi="Times New Roman"/>
        </w:rPr>
      </w:pPr>
    </w:p>
    <w:p w14:paraId="046B042D" w14:textId="77777777" w:rsidR="00F55CA6" w:rsidRDefault="00F55CA6" w:rsidP="00D0796E">
      <w:pPr>
        <w:rPr>
          <w:rFonts w:ascii="Times New Roman" w:hAnsi="Times New Roman"/>
        </w:rPr>
      </w:pPr>
    </w:p>
    <w:p w14:paraId="1BD73DAA" w14:textId="77777777" w:rsidR="00F55CA6" w:rsidRDefault="00F55CA6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55CA6" w:rsidRPr="007B6C7D" w14:paraId="1DEB8849" w14:textId="77777777" w:rsidTr="00F55CA6">
        <w:tc>
          <w:tcPr>
            <w:tcW w:w="3528" w:type="dxa"/>
          </w:tcPr>
          <w:p w14:paraId="023B0B38" w14:textId="77777777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440DB99" w14:textId="577C79F8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55CA6" w:rsidRPr="007B6C7D" w14:paraId="03C91678" w14:textId="77777777" w:rsidTr="00F55CA6">
        <w:tc>
          <w:tcPr>
            <w:tcW w:w="3528" w:type="dxa"/>
          </w:tcPr>
          <w:p w14:paraId="6FD80E81" w14:textId="77777777" w:rsidR="00F55CA6" w:rsidRPr="001620FF" w:rsidRDefault="00F55CA6" w:rsidP="00F55C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36F6859" w14:textId="5D600AFD" w:rsidR="00F55CA6" w:rsidRPr="001620FF" w:rsidRDefault="00F55CA6" w:rsidP="00F55CA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F55CA6" w:rsidRPr="007B6C7D" w14:paraId="32883D8C" w14:textId="77777777" w:rsidTr="00F55CA6">
        <w:tc>
          <w:tcPr>
            <w:tcW w:w="3528" w:type="dxa"/>
          </w:tcPr>
          <w:p w14:paraId="546F9E4F" w14:textId="77777777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8927B54" w14:textId="77777777" w:rsidR="00F55CA6" w:rsidRDefault="00F55CA6" w:rsidP="00F55CA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0FFD6CE9" w14:textId="3692232D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F55CA6" w:rsidRPr="007B6C7D" w14:paraId="0962EA1B" w14:textId="77777777" w:rsidTr="00F55CA6">
        <w:tc>
          <w:tcPr>
            <w:tcW w:w="3528" w:type="dxa"/>
          </w:tcPr>
          <w:p w14:paraId="2FADF502" w14:textId="77777777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97332D2" w14:textId="1F5C5123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F55CA6" w:rsidRPr="007B6C7D" w14:paraId="5C12F692" w14:textId="77777777" w:rsidTr="00F55CA6">
        <w:tc>
          <w:tcPr>
            <w:tcW w:w="3528" w:type="dxa"/>
          </w:tcPr>
          <w:p w14:paraId="32BBB094" w14:textId="77777777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18348E2" w14:textId="33A172BF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F55CA6" w:rsidRPr="007B6C7D" w14:paraId="0EA93974" w14:textId="77777777" w:rsidTr="00F55CA6">
        <w:tc>
          <w:tcPr>
            <w:tcW w:w="3528" w:type="dxa"/>
          </w:tcPr>
          <w:p w14:paraId="5E8A2CCF" w14:textId="77777777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87058B4" w14:textId="53BBEAB8" w:rsidR="00F55CA6" w:rsidRPr="007B6C7D" w:rsidRDefault="00F55CA6" w:rsidP="00F55CA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20614147" w:rsidR="00F305BB" w:rsidRDefault="00F305BB" w:rsidP="00D0796E">
      <w:r>
        <w:t>Miesto konania stretnutia:</w:t>
      </w:r>
      <w:r w:rsidR="006746AD">
        <w:t xml:space="preserve"> </w:t>
      </w:r>
      <w:r w:rsidR="00F55CA6">
        <w:t>SSOŠ ELBA Smetanova 2 Prešov</w:t>
      </w:r>
    </w:p>
    <w:p w14:paraId="375C2BC7" w14:textId="4E120414" w:rsidR="00957662" w:rsidRDefault="00F305BB" w:rsidP="00D0796E">
      <w:r>
        <w:t>Dátum konania stretnutia:</w:t>
      </w:r>
      <w:r w:rsidR="00A64FD7">
        <w:t xml:space="preserve"> </w:t>
      </w:r>
      <w:r w:rsidR="00F55CA6">
        <w:t>9. novembra 2022</w:t>
      </w:r>
    </w:p>
    <w:p w14:paraId="66084B0E" w14:textId="2FF600E4" w:rsidR="00F305BB" w:rsidRDefault="00F305BB" w:rsidP="00D0796E">
      <w:r>
        <w:t>Trvanie stretnutia:</w:t>
      </w:r>
      <w:r w:rsidR="00F55CA6" w:rsidRPr="00F55CA6">
        <w:t xml:space="preserve"> </w:t>
      </w:r>
      <w:r w:rsidR="00F55CA6">
        <w:t>od 14,45 hod.</w:t>
      </w:r>
      <w:r w:rsidR="00F55CA6">
        <w:tab/>
        <w:t>do 17,45 hod.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F55CA6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508E501A" w:rsidR="00F55CA6" w:rsidRPr="007B6C7D" w:rsidRDefault="00F55CA6" w:rsidP="00F55CA6">
            <w:r>
              <w:t>1.</w:t>
            </w:r>
          </w:p>
        </w:tc>
        <w:tc>
          <w:tcPr>
            <w:tcW w:w="3935" w:type="dxa"/>
          </w:tcPr>
          <w:p w14:paraId="6EE167F3" w14:textId="7EA3D700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F55CA6" w:rsidRPr="007B6C7D" w:rsidRDefault="00F55CA6" w:rsidP="00F55CA6"/>
        </w:tc>
        <w:tc>
          <w:tcPr>
            <w:tcW w:w="2306" w:type="dxa"/>
          </w:tcPr>
          <w:p w14:paraId="20E257E2" w14:textId="6E7C07DE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55CA6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746CD01" w:rsidR="00F55CA6" w:rsidRPr="007B6C7D" w:rsidRDefault="00F55CA6" w:rsidP="00F55CA6">
            <w:r>
              <w:t>2.</w:t>
            </w:r>
          </w:p>
        </w:tc>
        <w:tc>
          <w:tcPr>
            <w:tcW w:w="3935" w:type="dxa"/>
          </w:tcPr>
          <w:p w14:paraId="069B2AB0" w14:textId="623374DB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F55CA6" w:rsidRPr="007B6C7D" w:rsidRDefault="00F55CA6" w:rsidP="00F55CA6"/>
        </w:tc>
        <w:tc>
          <w:tcPr>
            <w:tcW w:w="2306" w:type="dxa"/>
          </w:tcPr>
          <w:p w14:paraId="5B1E7C59" w14:textId="6B16D910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55CA6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66921D0B" w:rsidR="00F55CA6" w:rsidRPr="007B6C7D" w:rsidRDefault="00F55CA6" w:rsidP="00F55CA6">
            <w:r>
              <w:t>3.</w:t>
            </w:r>
          </w:p>
        </w:tc>
        <w:tc>
          <w:tcPr>
            <w:tcW w:w="3935" w:type="dxa"/>
          </w:tcPr>
          <w:p w14:paraId="2B6A3716" w14:textId="0E710DEF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F55CA6" w:rsidRPr="007B6C7D" w:rsidRDefault="00F55CA6" w:rsidP="00F55CA6"/>
        </w:tc>
        <w:tc>
          <w:tcPr>
            <w:tcW w:w="2306" w:type="dxa"/>
          </w:tcPr>
          <w:p w14:paraId="5CBC9D40" w14:textId="2230429F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55CA6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0789B77" w:rsidR="00F55CA6" w:rsidRPr="007B6C7D" w:rsidRDefault="00F55CA6" w:rsidP="00F55CA6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1DF0E592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F55CA6" w:rsidRPr="007B6C7D" w:rsidRDefault="00F55CA6" w:rsidP="00F55CA6"/>
        </w:tc>
        <w:tc>
          <w:tcPr>
            <w:tcW w:w="2306" w:type="dxa"/>
          </w:tcPr>
          <w:p w14:paraId="72532666" w14:textId="3DA3D480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F55CA6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511C10C2" w:rsidR="00F55CA6" w:rsidRPr="007B6C7D" w:rsidRDefault="00F55CA6" w:rsidP="00F55CA6">
            <w:r>
              <w:t>5.</w:t>
            </w:r>
          </w:p>
        </w:tc>
        <w:tc>
          <w:tcPr>
            <w:tcW w:w="3935" w:type="dxa"/>
          </w:tcPr>
          <w:p w14:paraId="60EDB10F" w14:textId="3CBBCFA6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F55CA6" w:rsidRPr="007B6C7D" w:rsidRDefault="00F55CA6" w:rsidP="00F55CA6"/>
        </w:tc>
        <w:tc>
          <w:tcPr>
            <w:tcW w:w="2306" w:type="dxa"/>
          </w:tcPr>
          <w:p w14:paraId="53F886A6" w14:textId="0C19DFBC" w:rsidR="00F55CA6" w:rsidRPr="007B6C7D" w:rsidRDefault="00F55CA6" w:rsidP="00F55CA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0E2B" w14:textId="77777777" w:rsidR="002A22B3" w:rsidRDefault="002A22B3" w:rsidP="00CF35D8">
      <w:pPr>
        <w:spacing w:after="0" w:line="240" w:lineRule="auto"/>
      </w:pPr>
      <w:r>
        <w:separator/>
      </w:r>
    </w:p>
  </w:endnote>
  <w:endnote w:type="continuationSeparator" w:id="0">
    <w:p w14:paraId="141A3AE6" w14:textId="77777777" w:rsidR="002A22B3" w:rsidRDefault="002A22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376C" w14:textId="77777777" w:rsidR="002A22B3" w:rsidRDefault="002A22B3" w:rsidP="00CF35D8">
      <w:pPr>
        <w:spacing w:after="0" w:line="240" w:lineRule="auto"/>
      </w:pPr>
      <w:r>
        <w:separator/>
      </w:r>
    </w:p>
  </w:footnote>
  <w:footnote w:type="continuationSeparator" w:id="0">
    <w:p w14:paraId="78C88642" w14:textId="77777777" w:rsidR="002A22B3" w:rsidRDefault="002A22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D3A64"/>
    <w:multiLevelType w:val="multilevel"/>
    <w:tmpl w:val="BE6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B79"/>
    <w:multiLevelType w:val="multilevel"/>
    <w:tmpl w:val="C3F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A87437"/>
    <w:multiLevelType w:val="multilevel"/>
    <w:tmpl w:val="4BF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7"/>
  </w:num>
  <w:num w:numId="12">
    <w:abstractNumId w:val="13"/>
  </w:num>
  <w:num w:numId="13">
    <w:abstractNumId w:val="16"/>
  </w:num>
  <w:num w:numId="14">
    <w:abstractNumId w:val="9"/>
  </w:num>
  <w:num w:numId="15">
    <w:abstractNumId w:val="18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26"/>
  </w:num>
  <w:num w:numId="21">
    <w:abstractNumId w:val="17"/>
  </w:num>
  <w:num w:numId="22">
    <w:abstractNumId w:val="4"/>
  </w:num>
  <w:num w:numId="23">
    <w:abstractNumId w:val="8"/>
  </w:num>
  <w:num w:numId="24">
    <w:abstractNumId w:val="25"/>
  </w:num>
  <w:num w:numId="25">
    <w:abstractNumId w:val="5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22B3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23E21"/>
    <w:rsid w:val="005361EC"/>
    <w:rsid w:val="0054016F"/>
    <w:rsid w:val="00541786"/>
    <w:rsid w:val="0055263C"/>
    <w:rsid w:val="0057550A"/>
    <w:rsid w:val="00583AF0"/>
    <w:rsid w:val="0058712F"/>
    <w:rsid w:val="00592E27"/>
    <w:rsid w:val="00596B33"/>
    <w:rsid w:val="005E3AD8"/>
    <w:rsid w:val="005F3267"/>
    <w:rsid w:val="006377DA"/>
    <w:rsid w:val="00655678"/>
    <w:rsid w:val="00667602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32860"/>
    <w:rsid w:val="00936778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E3761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54B74"/>
    <w:rsid w:val="00F55CA6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2022-11-08T10:59:00Z</cp:lastPrinted>
  <dcterms:created xsi:type="dcterms:W3CDTF">2022-10-26T06:14:00Z</dcterms:created>
  <dcterms:modified xsi:type="dcterms:W3CDTF">2022-11-08T12:03:00Z</dcterms:modified>
</cp:coreProperties>
</file>